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F8D01" w14:textId="77777777" w:rsidR="00E94707" w:rsidRDefault="00E94707" w:rsidP="00E94707">
      <w:pPr>
        <w:pStyle w:val="NormalWeb"/>
      </w:pPr>
      <w:r>
        <w:t>Hydrogen integration in the power sector is both a technological opportunity and a decarbonization challenge for gas turbines. A decade after the Paris Agreement, greenhouse gas emissions continue to rise, highlighting the gap between climate ambitions and implementation. As one of the largest emitting sectors, power generation must meet growing electricity demand while complying with increasingly stringent climate objectives. In this context, hydrogen is often presented as a pathway toward low-carbon energy systems. Yet deployment is not frictionless: hydrogen changes combustion behavior and cycle thermodynamics, can introduce efficiency penalties, and creates system-integration constraints. Quantifying these trade-offs is essential to determine when, where, and under which conditions hydrogen can deliver meaningful decarbonization in gas turbines.</w:t>
      </w:r>
    </w:p>
    <w:p w14:paraId="25815D18" w14:textId="77777777" w:rsidR="00E94707" w:rsidRDefault="00E94707" w:rsidP="00E94707">
      <w:pPr>
        <w:pStyle w:val="NormalWeb"/>
      </w:pPr>
      <w:r>
        <w:t>This thesis investigates the impact of hydrogen on gas-turbine thermodynamic performance across scales, with a particular emphasis on blue hydrogen integration and implications for the bottoming cycle. The analysis quantifies changes in efficiency, specific work, and heat-recovery potential from micro gas turbines to large combined-cycle configurations. To enable consistent comparisons, detailed Aspen Plus models were developed and validated against manufacturer data and literature benchmarks. Parametric analyses explored the influence of fuel composition, pressure ratio, firing temperature, and recuperation on overall system performance.</w:t>
      </w:r>
    </w:p>
    <w:p w14:paraId="6EDD339D" w14:textId="77777777" w:rsidR="00E94707" w:rsidRDefault="00E94707" w:rsidP="00E94707">
      <w:pPr>
        <w:pStyle w:val="NormalWeb"/>
      </w:pPr>
      <w:r>
        <w:t>Results indicate that hydrogen and hydrogen-rich blends can increase specific work and, in some configurations, improve efficiency due to changes in combustion-product composition. However, the magnitude and even the direction of these effects depend strongly on turbine size and cycle architecture. The bottoming cycle is particularly sensitive: higher water vapor content and lower CO₂ concentration in the exhaust modify the temperature profile and heat-recovery potential, affecting steam-cycle integration and overall combined-cycle performance.</w:t>
      </w:r>
    </w:p>
    <w:p w14:paraId="3711FC55" w14:textId="77777777" w:rsidR="00E94707" w:rsidRDefault="00E94707" w:rsidP="00E94707">
      <w:pPr>
        <w:pStyle w:val="NormalWeb"/>
      </w:pPr>
      <w:r>
        <w:t>Because gas turbines are expected to operate under increasingly flexible dispatch, this thesis also examines how decarbonization choices interact with operational constraints. Deep decarbonization can be pursued through two fundamentally different routes: decarbonizing the fuel upstream or capturing CO₂ downstream from flue gas. A comparative analysis between blue-hydrogen-fueled combined cycles and methane-fired combined cycles with post-combustion capture (PCC) reveals distinct trade-offs. While PCC achieves higher overall efficiency at full load (51%), blue hydrogen may offer superior operational flexibility by relocating carbon capture from the power block to the steadier steam methane reforming (SMR) unit. This advantage comes with a substantial overall efficiency penalty (24%), driven by the energy intensity of hydrogen production and associated capture processes.</w:t>
      </w:r>
    </w:p>
    <w:p w14:paraId="480A0ABE" w14:textId="77777777" w:rsidR="00E94707" w:rsidRDefault="00E94707" w:rsidP="00E94707">
      <w:pPr>
        <w:pStyle w:val="NormalWeb"/>
      </w:pPr>
      <w:r>
        <w:t>Finally, the thesis investigates an alternative configuration with the potential to reduce the carbon footprint of gas-turbine-based power generation: the Clean Energy Systems (CES) cycle, which couples carbon capture with oxygen production. This analysis illustrates how tightly integrated architectures can achieve high efficiency alongside near-zero emissions.</w:t>
      </w:r>
    </w:p>
    <w:p w14:paraId="444AE7E6" w14:textId="77777777" w:rsidR="00E94707" w:rsidRDefault="00E94707" w:rsidP="00E94707">
      <w:pPr>
        <w:pStyle w:val="NormalWeb"/>
      </w:pPr>
      <w:r>
        <w:t xml:space="preserve">Overall, the thesis makes four main contributions: (1) a systematic comparison of hydrogen-fueled gas turbines across size classes; (2) an explicit assessment of hydrogen’s propagation to the bottoming cycle through exhaust heat quality and recovery potential; (3) a consistent evaluation of upstream fuel decarbonization (blue hydrogen) versus downstream capture (PCC); and (4) insight into integrated low-carbon cycles such as CES, identifying the thermodynamic drivers of high efficiency with near-zero emissions. These findings help </w:t>
      </w:r>
      <w:r>
        <w:lastRenderedPageBreak/>
        <w:t>inform retrofitting strategies, hydrogen-ready turbine design, and next-generation low-carbon power plant architectures.</w:t>
      </w:r>
    </w:p>
    <w:p w14:paraId="08AF4A56" w14:textId="77777777" w:rsidR="00E94707" w:rsidRDefault="00E94707"/>
    <w:sectPr w:rsidR="00E94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07"/>
    <w:rsid w:val="00A16168"/>
    <w:rsid w:val="00E94707"/>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08992292"/>
  <w15:chartTrackingRefBased/>
  <w15:docId w15:val="{E97FC683-405C-524B-9495-74D46BAD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7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7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7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7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7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7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7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7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7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7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7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7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707"/>
    <w:rPr>
      <w:rFonts w:eastAsiaTheme="majorEastAsia" w:cstheme="majorBidi"/>
      <w:color w:val="272727" w:themeColor="text1" w:themeTint="D8"/>
    </w:rPr>
  </w:style>
  <w:style w:type="paragraph" w:styleId="Title">
    <w:name w:val="Title"/>
    <w:basedOn w:val="Normal"/>
    <w:next w:val="Normal"/>
    <w:link w:val="TitleChar"/>
    <w:uiPriority w:val="10"/>
    <w:qFormat/>
    <w:rsid w:val="00E94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7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707"/>
    <w:pPr>
      <w:spacing w:before="160"/>
      <w:jc w:val="center"/>
    </w:pPr>
    <w:rPr>
      <w:i/>
      <w:iCs/>
      <w:color w:val="404040" w:themeColor="text1" w:themeTint="BF"/>
    </w:rPr>
  </w:style>
  <w:style w:type="character" w:customStyle="1" w:styleId="QuoteChar">
    <w:name w:val="Quote Char"/>
    <w:basedOn w:val="DefaultParagraphFont"/>
    <w:link w:val="Quote"/>
    <w:uiPriority w:val="29"/>
    <w:rsid w:val="00E94707"/>
    <w:rPr>
      <w:i/>
      <w:iCs/>
      <w:color w:val="404040" w:themeColor="text1" w:themeTint="BF"/>
    </w:rPr>
  </w:style>
  <w:style w:type="paragraph" w:styleId="ListParagraph">
    <w:name w:val="List Paragraph"/>
    <w:basedOn w:val="Normal"/>
    <w:uiPriority w:val="34"/>
    <w:qFormat/>
    <w:rsid w:val="00E94707"/>
    <w:pPr>
      <w:ind w:left="720"/>
      <w:contextualSpacing/>
    </w:pPr>
  </w:style>
  <w:style w:type="character" w:styleId="IntenseEmphasis">
    <w:name w:val="Intense Emphasis"/>
    <w:basedOn w:val="DefaultParagraphFont"/>
    <w:uiPriority w:val="21"/>
    <w:qFormat/>
    <w:rsid w:val="00E94707"/>
    <w:rPr>
      <w:i/>
      <w:iCs/>
      <w:color w:val="0F4761" w:themeColor="accent1" w:themeShade="BF"/>
    </w:rPr>
  </w:style>
  <w:style w:type="paragraph" w:styleId="IntenseQuote">
    <w:name w:val="Intense Quote"/>
    <w:basedOn w:val="Normal"/>
    <w:next w:val="Normal"/>
    <w:link w:val="IntenseQuoteChar"/>
    <w:uiPriority w:val="30"/>
    <w:qFormat/>
    <w:rsid w:val="00E94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707"/>
    <w:rPr>
      <w:i/>
      <w:iCs/>
      <w:color w:val="0F4761" w:themeColor="accent1" w:themeShade="BF"/>
    </w:rPr>
  </w:style>
  <w:style w:type="character" w:styleId="IntenseReference">
    <w:name w:val="Intense Reference"/>
    <w:basedOn w:val="DefaultParagraphFont"/>
    <w:uiPriority w:val="32"/>
    <w:qFormat/>
    <w:rsid w:val="00E94707"/>
    <w:rPr>
      <w:b/>
      <w:bCs/>
      <w:smallCaps/>
      <w:color w:val="0F4761" w:themeColor="accent1" w:themeShade="BF"/>
      <w:spacing w:val="5"/>
    </w:rPr>
  </w:style>
  <w:style w:type="paragraph" w:styleId="NormalWeb">
    <w:name w:val="Normal (Web)"/>
    <w:basedOn w:val="Normal"/>
    <w:uiPriority w:val="99"/>
    <w:semiHidden/>
    <w:unhideWhenUsed/>
    <w:rsid w:val="00E9470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591</Words>
  <Characters>3375</Characters>
  <Application>Microsoft Office Word</Application>
  <DocSecurity>0</DocSecurity>
  <Lines>28</Lines>
  <Paragraphs>7</Paragraphs>
  <ScaleCrop>false</ScaleCrop>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MENDOZA MORALES Maria José</dc:creator>
  <cp:keywords/>
  <dc:description/>
  <cp:lastModifiedBy>MENDOZA MORALES Maria José</cp:lastModifiedBy>
  <cp:revision>1</cp:revision>
  <dcterms:created xsi:type="dcterms:W3CDTF">2026-02-09T12:19:00Z</dcterms:created>
  <dcterms:modified xsi:type="dcterms:W3CDTF">2026-02-09T12:25:00Z</dcterms:modified>
</cp:coreProperties>
</file>